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6D" w:rsidRPr="00EE0B3F" w:rsidRDefault="00EE0B3F" w:rsidP="000C786D">
      <w:pPr>
        <w:jc w:val="right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 w:rsidRPr="00EE0B3F">
        <w:rPr>
          <w:rFonts w:ascii="Times New Roman" w:hAnsi="Times New Roman"/>
          <w:b/>
          <w:sz w:val="24"/>
          <w:szCs w:val="24"/>
          <w:lang w:val="sr-Latn-CS"/>
        </w:rPr>
        <w:t>PREDLOG</w:t>
      </w:r>
    </w:p>
    <w:p w:rsidR="003052CA" w:rsidRDefault="003052CA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</w:p>
    <w:p w:rsidR="003052CA" w:rsidRDefault="003052CA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</w:p>
    <w:p w:rsidR="000C786D" w:rsidRDefault="000C786D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ZAKON O IZMJENAMA ZAKONA</w:t>
      </w:r>
    </w:p>
    <w:p w:rsidR="000C786D" w:rsidRDefault="000C786D" w:rsidP="000C786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O TERITORIJALNOJ ORGANIZACIJI CRNE GORE</w:t>
      </w:r>
    </w:p>
    <w:p w:rsidR="000C786D" w:rsidRDefault="000C786D" w:rsidP="000C786D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0C786D" w:rsidRDefault="000C786D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1</w:t>
      </w:r>
    </w:p>
    <w:p w:rsidR="003052CA" w:rsidRDefault="000C786D" w:rsidP="000C786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 xml:space="preserve">U Zakonu o teritorijalnoj organizaciji Crne Gore </w:t>
      </w:r>
      <w:r>
        <w:rPr>
          <w:rFonts w:ascii="Times New Roman" w:hAnsi="Times New Roman"/>
          <w:bCs/>
          <w:sz w:val="24"/>
          <w:szCs w:val="24"/>
        </w:rPr>
        <w:t>("</w:t>
      </w:r>
      <w:proofErr w:type="spellStart"/>
      <w:r>
        <w:rPr>
          <w:rFonts w:ascii="Times New Roman" w:hAnsi="Times New Roman"/>
          <w:bCs/>
          <w:sz w:val="24"/>
          <w:szCs w:val="24"/>
        </w:rPr>
        <w:t>Službeni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list CG", br. 54/11, 27/13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52CA">
        <w:rPr>
          <w:rFonts w:ascii="Times New Roman" w:hAnsi="Times New Roman"/>
          <w:bCs/>
          <w:sz w:val="24"/>
          <w:szCs w:val="24"/>
        </w:rPr>
        <w:t>62/13),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52CA">
        <w:rPr>
          <w:rFonts w:ascii="Times New Roman" w:hAnsi="Times New Roman"/>
          <w:bCs/>
          <w:sz w:val="24"/>
          <w:szCs w:val="24"/>
        </w:rPr>
        <w:t>član</w:t>
      </w:r>
      <w:proofErr w:type="spellEnd"/>
      <w:r w:rsidR="003052CA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="003052CA">
        <w:rPr>
          <w:rFonts w:ascii="Times New Roman" w:hAnsi="Times New Roman"/>
          <w:bCs/>
          <w:sz w:val="24"/>
          <w:szCs w:val="24"/>
        </w:rPr>
        <w:t>mijenja</w:t>
      </w:r>
      <w:proofErr w:type="spellEnd"/>
      <w:r w:rsidR="003052CA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3052CA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3052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52CA">
        <w:rPr>
          <w:rFonts w:ascii="Times New Roman" w:hAnsi="Times New Roman"/>
          <w:bCs/>
          <w:sz w:val="24"/>
          <w:szCs w:val="24"/>
        </w:rPr>
        <w:t>glasi</w:t>
      </w:r>
      <w:proofErr w:type="spellEnd"/>
      <w:r w:rsidR="003052CA">
        <w:rPr>
          <w:rFonts w:ascii="Times New Roman" w:hAnsi="Times New Roman"/>
          <w:bCs/>
          <w:sz w:val="24"/>
          <w:szCs w:val="24"/>
        </w:rPr>
        <w:t>:</w:t>
      </w:r>
    </w:p>
    <w:p w:rsidR="003052CA" w:rsidRDefault="003052CA" w:rsidP="003052CA">
      <w:pPr>
        <w:pStyle w:val="NoSpacing"/>
      </w:pPr>
      <w:r>
        <w:rPr>
          <w:rFonts w:ascii="Times New Roman" w:hAnsi="Times New Roman"/>
          <w:bCs/>
          <w:sz w:val="24"/>
          <w:szCs w:val="24"/>
        </w:rPr>
        <w:tab/>
        <w:t>‘’</w:t>
      </w:r>
      <w:proofErr w:type="spellStart"/>
      <w:r>
        <w:rPr>
          <w:rFonts w:ascii="Times New Roman" w:hAnsi="Times New Roman"/>
          <w:bCs/>
          <w:sz w:val="24"/>
          <w:szCs w:val="24"/>
        </w:rPr>
        <w:t>Teritorija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opštine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Glavnog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opštine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okviru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Glavnog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Prijestonice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bCs/>
          <w:sz w:val="24"/>
          <w:szCs w:val="24"/>
        </w:rPr>
        <w:t>daljem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tekstu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jedinica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lokalne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samouprave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utvrđuje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ovim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zakonom</w:t>
      </w:r>
      <w:proofErr w:type="spellEnd"/>
      <w:r>
        <w:rPr>
          <w:rFonts w:ascii="Times New Roman" w:hAnsi="Times New Roman"/>
          <w:bCs/>
          <w:sz w:val="24"/>
          <w:szCs w:val="24"/>
        </w:rPr>
        <w:t>.’’</w:t>
      </w:r>
    </w:p>
    <w:p w:rsidR="003052CA" w:rsidRDefault="003052CA" w:rsidP="000C786D">
      <w:pPr>
        <w:jc w:val="both"/>
        <w:rPr>
          <w:rFonts w:ascii="Times New Roman" w:hAnsi="Times New Roman"/>
          <w:bCs/>
          <w:sz w:val="24"/>
          <w:szCs w:val="24"/>
        </w:rPr>
      </w:pPr>
    </w:p>
    <w:p w:rsidR="003052CA" w:rsidRPr="003052CA" w:rsidRDefault="003052CA" w:rsidP="003052CA">
      <w:pPr>
        <w:pStyle w:val="NoSpacing"/>
        <w:jc w:val="center"/>
        <w:rPr>
          <w:b/>
        </w:rPr>
      </w:pPr>
      <w:proofErr w:type="spellStart"/>
      <w:r w:rsidRPr="003052CA">
        <w:rPr>
          <w:b/>
        </w:rPr>
        <w:t>Član</w:t>
      </w:r>
      <w:proofErr w:type="spellEnd"/>
      <w:r w:rsidRPr="003052CA">
        <w:rPr>
          <w:b/>
        </w:rPr>
        <w:t xml:space="preserve"> 2</w:t>
      </w:r>
    </w:p>
    <w:p w:rsidR="000C786D" w:rsidRDefault="003052CA" w:rsidP="000C7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Č</w:t>
      </w:r>
      <w:r w:rsidR="000C786D">
        <w:rPr>
          <w:rFonts w:ascii="Times New Roman" w:hAnsi="Times New Roman"/>
          <w:bCs/>
          <w:sz w:val="24"/>
          <w:szCs w:val="24"/>
        </w:rPr>
        <w:t>lan</w:t>
      </w:r>
      <w:proofErr w:type="spellEnd"/>
      <w:r w:rsidR="000C786D"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 w:rsidR="000C786D">
        <w:rPr>
          <w:rFonts w:ascii="Times New Roman" w:hAnsi="Times New Roman"/>
          <w:bCs/>
          <w:sz w:val="24"/>
          <w:szCs w:val="24"/>
        </w:rPr>
        <w:t>mijenja</w:t>
      </w:r>
      <w:proofErr w:type="spellEnd"/>
      <w:r w:rsidR="000C786D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0C786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0C78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786D">
        <w:rPr>
          <w:rFonts w:ascii="Times New Roman" w:hAnsi="Times New Roman"/>
          <w:bCs/>
          <w:sz w:val="24"/>
          <w:szCs w:val="24"/>
        </w:rPr>
        <w:t>glasi</w:t>
      </w:r>
      <w:proofErr w:type="spellEnd"/>
      <w:r w:rsidR="000C786D">
        <w:rPr>
          <w:rFonts w:ascii="Times New Roman" w:hAnsi="Times New Roman"/>
          <w:bCs/>
          <w:sz w:val="24"/>
          <w:szCs w:val="24"/>
        </w:rPr>
        <w:t>:</w:t>
      </w:r>
      <w:r w:rsidR="000C786D">
        <w:rPr>
          <w:rFonts w:ascii="Times New Roman" w:hAnsi="Times New Roman"/>
          <w:bCs/>
          <w:sz w:val="24"/>
          <w:szCs w:val="24"/>
        </w:rPr>
        <w:tab/>
      </w:r>
      <w:bookmarkStart w:id="0" w:name="SADRZAJ_008"/>
    </w:p>
    <w:p w:rsidR="000C786D" w:rsidRDefault="000C786D" w:rsidP="000C786D">
      <w:pPr>
        <w:pStyle w:val="1tekst"/>
        <w:ind w:left="0" w:right="0" w:firstLine="615"/>
        <w:rPr>
          <w:rFonts w:ascii="Times New Roman" w:hAnsi="Times New Roman" w:cs="Times New Roman"/>
          <w:sz w:val="24"/>
          <w:szCs w:val="24"/>
        </w:rPr>
      </w:pPr>
      <w:bookmarkStart w:id="1" w:name="SADRZAJ_009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Bezjovo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Brežine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Brskut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Cvilin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Ćafa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Ćepetići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Dajbabe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Stravče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Draževina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Dučići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Đurkovići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Goljemadi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Stravče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Grbavci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Kisjelica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Klopot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Kržanja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Rijeka,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Lužnica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Momče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Orahovo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Ožezi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Progonovići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Rijeka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Seoštica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Staniselići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Vrbica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786D" w:rsidRDefault="000C786D" w:rsidP="000C786D">
      <w:pPr>
        <w:pStyle w:val="1tekst"/>
        <w:ind w:left="0" w:right="0" w:firstLine="6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Golubovaca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Berislavci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Mojanovići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Šušunju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Mataguži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Ljajkovići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2CA" w:rsidRPr="00600A98" w:rsidRDefault="000C786D" w:rsidP="003052CA">
      <w:pPr>
        <w:pStyle w:val="1tekst"/>
        <w:ind w:left="0" w:right="0" w:firstLine="61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Vuksanlekići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Zatrijebač,Poprat,Rudine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Mužečka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Stjepovo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Prifta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Šipčanik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Drešaj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Kotrabudan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Omerbožovići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Sukuruć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Rakića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i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druga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naselja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utvrđena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posebnom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odlukom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opštine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00A98">
        <w:rPr>
          <w:rFonts w:ascii="Times New Roman" w:hAnsi="Times New Roman"/>
          <w:sz w:val="24"/>
          <w:szCs w:val="24"/>
        </w:rPr>
        <w:t>okviru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Glavnog</w:t>
      </w:r>
      <w:proofErr w:type="spellEnd"/>
      <w:r w:rsidRPr="00600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A98">
        <w:rPr>
          <w:rFonts w:ascii="Times New Roman" w:hAnsi="Times New Roman"/>
          <w:sz w:val="24"/>
          <w:szCs w:val="24"/>
        </w:rPr>
        <w:t>grada</w:t>
      </w:r>
      <w:proofErr w:type="spellEnd"/>
      <w:r w:rsidRPr="00600A98">
        <w:rPr>
          <w:rFonts w:ascii="Times New Roman" w:hAnsi="Times New Roman"/>
          <w:sz w:val="24"/>
          <w:szCs w:val="24"/>
        </w:rPr>
        <w:t>.“</w:t>
      </w:r>
    </w:p>
    <w:p w:rsidR="003052CA" w:rsidRDefault="003052CA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</w:p>
    <w:p w:rsidR="000C786D" w:rsidRDefault="003052CA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Član 3</w:t>
      </w:r>
    </w:p>
    <w:p w:rsidR="000C786D" w:rsidRDefault="000C786D" w:rsidP="000C786D">
      <w:pPr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>U č</w:t>
      </w:r>
      <w:r w:rsidR="003052CA">
        <w:rPr>
          <w:rFonts w:ascii="Times New Roman" w:hAnsi="Times New Roman"/>
          <w:sz w:val="24"/>
          <w:szCs w:val="24"/>
          <w:lang w:val="sr-Latn-CS"/>
        </w:rPr>
        <w:t>lanu 16 stav 1 tačka 7 mijenja se i glasi:</w:t>
      </w:r>
    </w:p>
    <w:p w:rsidR="003052CA" w:rsidRDefault="003052CA" w:rsidP="003052CA">
      <w:pPr>
        <w:pStyle w:val="NoSpacing"/>
        <w:rPr>
          <w:lang w:val="sr-Latn-CS"/>
        </w:rPr>
      </w:pPr>
      <w:r>
        <w:rPr>
          <w:lang w:val="sr-Latn-CS"/>
        </w:rPr>
        <w:tab/>
        <w:t>’’7) izdvajanjem opštine u okviru Glavnog grada u novu opštinu.’’</w:t>
      </w:r>
    </w:p>
    <w:p w:rsidR="000C786D" w:rsidRDefault="000C786D" w:rsidP="000C786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C786D" w:rsidRDefault="003052CA" w:rsidP="000C786D">
      <w:pPr>
        <w:jc w:val="center"/>
        <w:outlineLvl w:val="0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Član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4</w:t>
      </w:r>
    </w:p>
    <w:p w:rsidR="000C786D" w:rsidRDefault="000C786D" w:rsidP="000C786D">
      <w:pPr>
        <w:ind w:firstLine="45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Član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54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briše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se.</w:t>
      </w:r>
    </w:p>
    <w:p w:rsidR="000C786D" w:rsidRDefault="000C786D" w:rsidP="000C786D">
      <w:pPr>
        <w:autoSpaceDE w:val="0"/>
        <w:autoSpaceDN w:val="0"/>
        <w:adjustRightInd w:val="0"/>
        <w:ind w:left="690" w:hanging="24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Član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  <w:r w:rsidR="003052CA">
        <w:rPr>
          <w:rFonts w:ascii="Times New Roman" w:hAnsi="Times New Roman"/>
          <w:b/>
          <w:color w:val="000000"/>
          <w:sz w:val="24"/>
          <w:szCs w:val="24"/>
          <w:lang w:val="fr-FR"/>
        </w:rPr>
        <w:t>5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</w:r>
    </w:p>
    <w:p w:rsidR="000C786D" w:rsidRDefault="000C786D" w:rsidP="000C786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Ovaj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zakon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stupa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snagu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osmog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dana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dana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objavljivanja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u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Službenom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listu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fr-FR"/>
        </w:rPr>
        <w:t>Crne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Gore".</w:t>
      </w:r>
    </w:p>
    <w:p w:rsidR="008918CD" w:rsidRDefault="008918CD"/>
    <w:sectPr w:rsidR="008918CD" w:rsidSect="0089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86D"/>
    <w:rsid w:val="000C786D"/>
    <w:rsid w:val="003052CA"/>
    <w:rsid w:val="0058223B"/>
    <w:rsid w:val="00600A98"/>
    <w:rsid w:val="008918CD"/>
    <w:rsid w:val="009F2200"/>
    <w:rsid w:val="00E2376D"/>
    <w:rsid w:val="00E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6D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C786D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3052CA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zeljka.milosevic</dc:creator>
  <cp:lastModifiedBy>zeljka.milosevic</cp:lastModifiedBy>
  <cp:revision>7</cp:revision>
  <cp:lastPrinted>2014-01-29T14:48:00Z</cp:lastPrinted>
  <dcterms:created xsi:type="dcterms:W3CDTF">2014-01-29T14:41:00Z</dcterms:created>
  <dcterms:modified xsi:type="dcterms:W3CDTF">2014-01-29T16:09:00Z</dcterms:modified>
</cp:coreProperties>
</file>